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0" w:rsidRPr="00902E95" w:rsidRDefault="00EA0F50" w:rsidP="00EA0F50">
      <w:pPr>
        <w:pStyle w:val="1"/>
        <w:jc w:val="center"/>
        <w:rPr>
          <w:lang w:val="uk-UA"/>
        </w:rPr>
      </w:pPr>
      <w:bookmarkStart w:id="0" w:name="_GoBack"/>
      <w:bookmarkEnd w:id="0"/>
      <w:proofErr w:type="spellStart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>Рекомендований</w:t>
      </w:r>
      <w:proofErr w:type="spellEnd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>перелі</w:t>
      </w:r>
      <w:proofErr w:type="gramStart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>к</w:t>
      </w:r>
      <w:proofErr w:type="spellEnd"/>
      <w:proofErr w:type="gramEnd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 xml:space="preserve"> статей </w:t>
      </w:r>
      <w:proofErr w:type="spellStart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>періодичних</w:t>
      </w:r>
      <w:proofErr w:type="spellEnd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>видань</w:t>
      </w:r>
      <w:proofErr w:type="spellEnd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 xml:space="preserve"> </w:t>
      </w:r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  <w:lang w:val="uk-UA"/>
        </w:rPr>
        <w:t>на тему:</w:t>
      </w:r>
    </w:p>
    <w:p w:rsidR="00EA0F50" w:rsidRDefault="00EA0F50" w:rsidP="00EA0F50">
      <w:pPr>
        <w:pStyle w:val="1"/>
        <w:jc w:val="center"/>
      </w:pPr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 xml:space="preserve">«Стан та </w:t>
      </w:r>
      <w:proofErr w:type="spellStart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>перспективи</w:t>
      </w:r>
      <w:proofErr w:type="spellEnd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>розвитку</w:t>
      </w:r>
      <w:proofErr w:type="spellEnd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 xml:space="preserve"> науки та </w:t>
      </w:r>
      <w:proofErr w:type="spellStart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>освіти</w:t>
      </w:r>
      <w:proofErr w:type="spellEnd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 xml:space="preserve"> в </w:t>
      </w:r>
      <w:proofErr w:type="spellStart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>Україні</w:t>
      </w:r>
      <w:proofErr w:type="spellEnd"/>
      <w:r>
        <w:rPr>
          <w:rFonts w:ascii="Nimbus Roman No9 L" w:eastAsia="Nimbus Roman No9 L" w:hAnsi="Nimbus Roman No9 L" w:cs="Nimbus Roman No9 L"/>
          <w:b/>
          <w:i/>
          <w:color w:val="3333FF"/>
          <w:sz w:val="32"/>
          <w:szCs w:val="32"/>
        </w:rPr>
        <w:t>»</w:t>
      </w:r>
    </w:p>
    <w:p w:rsidR="00EA0F50" w:rsidRDefault="00EA0F50" w:rsidP="00EA0F50">
      <w:pPr>
        <w:pStyle w:val="1"/>
        <w:jc w:val="center"/>
        <w:rPr>
          <w:b/>
          <w:sz w:val="32"/>
          <w:szCs w:val="32"/>
        </w:rPr>
      </w:pPr>
    </w:p>
    <w:p w:rsidR="00EA0F50" w:rsidRDefault="00EA0F50" w:rsidP="00EA0F50">
      <w:pPr>
        <w:pStyle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Nimbus Roman No9 L" w:eastAsia="Nimbus Roman No9 L" w:hAnsi="Nimbus Roman No9 L" w:cs="Nimbus Roman No9 L"/>
          <w:b/>
          <w:sz w:val="28"/>
          <w:szCs w:val="28"/>
        </w:rPr>
        <w:t xml:space="preserve">.Бублик С.Г., </w:t>
      </w:r>
      <w:proofErr w:type="spellStart"/>
      <w:r>
        <w:rPr>
          <w:rFonts w:ascii="Nimbus Roman No9 L" w:eastAsia="Nimbus Roman No9 L" w:hAnsi="Nimbus Roman No9 L" w:cs="Nimbus Roman No9 L"/>
          <w:b/>
          <w:sz w:val="28"/>
          <w:szCs w:val="28"/>
        </w:rPr>
        <w:t>Булкін</w:t>
      </w:r>
      <w:proofErr w:type="spellEnd"/>
      <w:proofErr w:type="gramStart"/>
      <w:r>
        <w:rPr>
          <w:rFonts w:ascii="Nimbus Roman No9 L" w:eastAsia="Nimbus Roman No9 L" w:hAnsi="Nimbus Roman No9 L" w:cs="Nimbus Roman No9 L"/>
          <w:b/>
          <w:sz w:val="28"/>
          <w:szCs w:val="28"/>
        </w:rPr>
        <w:t xml:space="preserve"> І.</w:t>
      </w:r>
      <w:proofErr w:type="gramEnd"/>
      <w:r>
        <w:rPr>
          <w:rFonts w:ascii="Nimbus Roman No9 L" w:eastAsia="Nimbus Roman No9 L" w:hAnsi="Nimbus Roman No9 L" w:cs="Nimbus Roman No9 L"/>
          <w:b/>
          <w:sz w:val="28"/>
          <w:szCs w:val="28"/>
        </w:rPr>
        <w:t>О., Мех О.А.</w:t>
      </w:r>
      <w:r>
        <w:rPr>
          <w:rFonts w:ascii="Nimbus Roman No9 L" w:eastAsia="Nimbus Roman No9 L" w:hAnsi="Nimbus Roman No9 L" w:cs="Nimbus Roman No9 L"/>
          <w:sz w:val="28"/>
          <w:szCs w:val="28"/>
        </w:rPr>
        <w:br/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Наукометричне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оцінювання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наукової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спрямованості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вітчизняного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законодавства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// Наука та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інновації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>, 2020.- 16.- № 1. - С.33-47</w:t>
      </w:r>
    </w:p>
    <w:tbl>
      <w:tblPr>
        <w:tblW w:w="10686" w:type="dxa"/>
        <w:tblLayout w:type="fixed"/>
        <w:tblLook w:val="0000" w:firstRow="0" w:lastRow="0" w:firstColumn="0" w:lastColumn="0" w:noHBand="0" w:noVBand="0"/>
      </w:tblPr>
      <w:tblGrid>
        <w:gridCol w:w="1526"/>
        <w:gridCol w:w="9160"/>
      </w:tblGrid>
      <w:tr w:rsidR="00EA0F50" w:rsidTr="00EA0F50">
        <w:tc>
          <w:tcPr>
            <w:tcW w:w="1526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160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наукоємної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залежить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</w:p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єдиної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0F50" w:rsidRDefault="00EA0F50" w:rsidP="00EA0F50">
      <w:pPr>
        <w:pStyle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A0F50" w:rsidRPr="00EA0F50" w:rsidRDefault="00EA0F50" w:rsidP="00EA0F50">
      <w:pPr>
        <w:pStyle w:val="1"/>
        <w:rPr>
          <w:sz w:val="28"/>
          <w:szCs w:val="28"/>
          <w:lang w:val="uk-UA"/>
        </w:rPr>
      </w:pPr>
      <w:r w:rsidRPr="00EA0F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Василенко А.Ю.</w:t>
      </w:r>
      <w:r w:rsidRPr="00EA0F50">
        <w:rPr>
          <w:lang w:val="uk-UA"/>
        </w:rPr>
        <w:br/>
      </w:r>
      <w:r w:rsidRPr="00EA0F50">
        <w:rPr>
          <w:sz w:val="28"/>
          <w:szCs w:val="28"/>
          <w:lang w:val="uk-UA"/>
        </w:rPr>
        <w:t>Реєстр дослідницьких інфраструктур як засіб реалізації державної політики відкритої науки в країнах ЄС та в Україні// Вісник Національної академії державного управління при Президентові України. Серія "Державне управління", 2020.- № 1(96). - С.80-85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526"/>
        <w:gridCol w:w="8974"/>
      </w:tblGrid>
      <w:tr w:rsidR="00EA0F50" w:rsidTr="00EA0F50">
        <w:tc>
          <w:tcPr>
            <w:tcW w:w="1526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974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продемонстровано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відкритого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ідницьких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інфраструктур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відкритої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дослідницьких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інфраструктур</w:t>
            </w:r>
            <w:proofErr w:type="spellEnd"/>
          </w:p>
        </w:tc>
      </w:tr>
    </w:tbl>
    <w:p w:rsidR="00EA0F50" w:rsidRPr="00EA0F50" w:rsidRDefault="00EA0F50" w:rsidP="00EA0F50">
      <w:pPr>
        <w:pStyle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A0F50" w:rsidRPr="00EA0F50" w:rsidRDefault="00EA0F50" w:rsidP="00EA0F50">
      <w:pPr>
        <w:pStyle w:val="1"/>
        <w:rPr>
          <w:sz w:val="28"/>
          <w:szCs w:val="28"/>
          <w:lang w:val="uk-UA"/>
        </w:rPr>
      </w:pPr>
      <w:r w:rsidRPr="00EA0F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Василенко А.Ю.</w:t>
      </w:r>
      <w:r w:rsidRPr="00EA0F50">
        <w:rPr>
          <w:lang w:val="uk-UA"/>
        </w:rPr>
        <w:br/>
      </w:r>
      <w:r w:rsidRPr="00EA0F50">
        <w:rPr>
          <w:sz w:val="28"/>
          <w:szCs w:val="28"/>
          <w:lang w:val="uk-UA"/>
        </w:rPr>
        <w:t xml:space="preserve">Формування та реалізація державної політики відкритої науки в країнах ЄС (на прикладі </w:t>
      </w:r>
      <w:r w:rsidRPr="00EA0F50">
        <w:rPr>
          <w:rFonts w:ascii="Nimbus Roman No9 L" w:eastAsia="Nimbus Roman No9 L" w:hAnsi="Nimbus Roman No9 L" w:cs="Nimbus Roman No9 L"/>
          <w:sz w:val="28"/>
          <w:szCs w:val="28"/>
          <w:lang w:val="uk-UA"/>
        </w:rPr>
        <w:t>Королівства Нідерландів)// Вісник Національної академії державного управління при Президентові України. Серія "Державне управління", 2019.- № 4(95). - С.56-62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526"/>
        <w:gridCol w:w="8974"/>
      </w:tblGrid>
      <w:tr w:rsidR="00EA0F50" w:rsidTr="00EA0F50">
        <w:tc>
          <w:tcPr>
            <w:tcW w:w="1526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974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  <w:ind w:left="-4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розглянуто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запровадження</w:t>
            </w:r>
            <w:proofErr w:type="spellEnd"/>
          </w:p>
          <w:p w:rsidR="00EA0F50" w:rsidRDefault="00EA0F50" w:rsidP="00A166AD">
            <w:pPr>
              <w:pStyle w:val="1"/>
              <w:ind w:left="-4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відкритої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стратегічних</w:t>
            </w:r>
            <w:proofErr w:type="spellEnd"/>
          </w:p>
          <w:p w:rsidR="00EA0F50" w:rsidRDefault="00EA0F50" w:rsidP="00A166AD">
            <w:pPr>
              <w:pStyle w:val="1"/>
              <w:ind w:left="-4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іоритетів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Королівства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Нідерландів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Досліджено</w:t>
            </w:r>
            <w:proofErr w:type="spellEnd"/>
          </w:p>
          <w:p w:rsidR="00EA0F50" w:rsidRDefault="00EA0F50" w:rsidP="00A166AD">
            <w:pPr>
              <w:pStyle w:val="1"/>
              <w:ind w:left="-4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відкритої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науки. </w:t>
            </w:r>
          </w:p>
        </w:tc>
      </w:tr>
    </w:tbl>
    <w:p w:rsidR="00EA0F50" w:rsidRDefault="00EA0F50" w:rsidP="00EA0F50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F50" w:rsidRDefault="00EA0F50" w:rsidP="00EA0F50">
      <w:pPr>
        <w:pStyle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Добронравова І.</w:t>
      </w:r>
      <w:r>
        <w:br/>
      </w:r>
      <w:proofErr w:type="spellStart"/>
      <w:r>
        <w:rPr>
          <w:sz w:val="28"/>
          <w:szCs w:val="28"/>
        </w:rPr>
        <w:t>Когнітивні</w:t>
      </w:r>
      <w:proofErr w:type="spellEnd"/>
      <w:r>
        <w:rPr>
          <w:sz w:val="28"/>
          <w:szCs w:val="28"/>
        </w:rPr>
        <w:t xml:space="preserve"> засади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стратегій</w:t>
      </w:r>
      <w:proofErr w:type="spellEnd"/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Філософія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Philosophy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>, 2018.- № 2 (23). - С.134-145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668"/>
        <w:gridCol w:w="8832"/>
      </w:tblGrid>
      <w:tr w:rsidR="00EA0F50" w:rsidTr="00EA0F50">
        <w:tc>
          <w:tcPr>
            <w:tcW w:w="1668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832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пов'язав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долученням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науки,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зрозумілій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проект. Наука Нового часу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Пов'язаний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ідеал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об'єктивної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EA0F50" w:rsidRPr="00EA0F50" w:rsidRDefault="00EA0F50" w:rsidP="00EA0F50">
      <w:pPr>
        <w:pStyle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A0F50" w:rsidRDefault="00EA0F50" w:rsidP="00EA0F50">
      <w:pPr>
        <w:pStyle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Дударенко Л.</w:t>
      </w:r>
      <w:r>
        <w:br/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минуле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передбаченні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школа.- Київ, 2016.- №10. - С.45-53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EA0F50" w:rsidTr="00A166AD">
        <w:tc>
          <w:tcPr>
            <w:tcW w:w="10500" w:type="dxa"/>
            <w:shd w:val="clear" w:color="auto" w:fill="auto"/>
          </w:tcPr>
          <w:p w:rsidR="00EA0F50" w:rsidRDefault="00EA0F50" w:rsidP="00A166AD">
            <w:pPr>
              <w:pStyle w:val="1"/>
              <w:ind w:left="1134" w:hanging="11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іджено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Проаналізовані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футурологів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0F50" w:rsidRDefault="00EA0F50" w:rsidP="00EA0F50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0F50" w:rsidRDefault="00EA0F50" w:rsidP="00EA0F50">
      <w:pPr>
        <w:pStyle w:val="1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Євтух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>
        <w:br/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і наука: час </w:t>
      </w:r>
      <w:proofErr w:type="spellStart"/>
      <w:r>
        <w:rPr>
          <w:sz w:val="28"/>
          <w:szCs w:val="28"/>
        </w:rPr>
        <w:t>еволюції</w:t>
      </w:r>
      <w:proofErr w:type="spellEnd"/>
      <w:r>
        <w:rPr>
          <w:sz w:val="28"/>
          <w:szCs w:val="28"/>
        </w:rPr>
        <w:t xml:space="preserve">//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 xml:space="preserve"> наук України, 2010.- 9. - С.3-11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526"/>
        <w:gridCol w:w="8974"/>
      </w:tblGrid>
      <w:tr w:rsidR="00EA0F50" w:rsidTr="00EA0F50">
        <w:tc>
          <w:tcPr>
            <w:tcW w:w="1526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974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долучається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загальнонаукової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стоять 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наукою.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широко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розкриває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епоха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суспільство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ототожнювати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машин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систем,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переосмисленням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цінностей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пріоритетних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пошуком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шляхів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їхнього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розв'язання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0F50" w:rsidRDefault="00EA0F50" w:rsidP="00EA0F50">
      <w:pPr>
        <w:pStyle w:val="1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Євтушенко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В.М.</w:t>
      </w:r>
      <w:r>
        <w:br/>
      </w:r>
      <w:proofErr w:type="spellStart"/>
      <w:r>
        <w:rPr>
          <w:sz w:val="28"/>
          <w:szCs w:val="28"/>
        </w:rPr>
        <w:t>Огляд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бібліометричних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індикаторів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науки// Наука,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інновації</w:t>
      </w:r>
      <w:proofErr w:type="spellEnd"/>
      <w:r>
        <w:rPr>
          <w:sz w:val="28"/>
          <w:szCs w:val="28"/>
        </w:rPr>
        <w:t>, 2018№ 4 (8). - С.3-12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526"/>
        <w:gridCol w:w="8974"/>
      </w:tblGrid>
      <w:tr w:rsidR="00EA0F50" w:rsidTr="00EA0F50">
        <w:tc>
          <w:tcPr>
            <w:tcW w:w="1526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974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поширених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вимірювання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ітову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науку, яке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бути проведено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бібліометричного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аналізу</w:t>
            </w:r>
            <w:proofErr w:type="spellEnd"/>
          </w:p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0F50" w:rsidRDefault="00EA0F50" w:rsidP="00EA0F50">
      <w:pPr>
        <w:pStyle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Зуб С.С., Прокопенко А.І.</w:t>
      </w:r>
      <w:r>
        <w:br/>
      </w:r>
      <w:proofErr w:type="spellStart"/>
      <w:r>
        <w:rPr>
          <w:sz w:val="28"/>
          <w:szCs w:val="28"/>
        </w:rPr>
        <w:t>Грід-технології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науці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освіті</w:t>
      </w:r>
      <w:proofErr w:type="spellEnd"/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Педагогіка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</w:rPr>
        <w:t xml:space="preserve">, 2019.- № 2 (103). - С.51-55  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668"/>
        <w:gridCol w:w="8832"/>
      </w:tblGrid>
      <w:tr w:rsidR="00EA0F50" w:rsidTr="00EA0F50">
        <w:tc>
          <w:tcPr>
            <w:tcW w:w="1668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832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Розглянуто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новітніх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втілює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кібернетичної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грід-технології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0F50" w:rsidRDefault="00EA0F50" w:rsidP="00EA0F50">
      <w:pPr>
        <w:pStyle w:val="1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Ісакова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Н.Б.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// Наука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наукознавство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2017.- №2 (96). - С.90-111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A0F50" w:rsidRDefault="00EA0F50" w:rsidP="00EA0F50">
      <w:pPr>
        <w:pStyle w:val="1"/>
        <w:ind w:left="1276" w:hanging="127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присвячена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вкладу ВНЗ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публікацій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Держстату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вітчизняних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0F50" w:rsidRPr="00EA0F50" w:rsidRDefault="00EA0F50" w:rsidP="00EA0F50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0F50" w:rsidRDefault="00EA0F50" w:rsidP="00EA0F50">
      <w:pPr>
        <w:pStyle w:val="1"/>
      </w:pPr>
      <w:proofErr w:type="spellStart"/>
      <w:r>
        <w:rPr>
          <w:rFonts w:ascii="Nimbus Roman No9 L" w:eastAsia="Nimbus Roman No9 L" w:hAnsi="Nimbus Roman No9 L" w:cs="Nimbus Roman No9 L"/>
          <w:b/>
          <w:sz w:val="28"/>
          <w:szCs w:val="28"/>
        </w:rPr>
        <w:t>Кропивницький</w:t>
      </w:r>
      <w:proofErr w:type="spellEnd"/>
      <w:r>
        <w:rPr>
          <w:rFonts w:ascii="Nimbus Roman No9 L" w:eastAsia="Nimbus Roman No9 L" w:hAnsi="Nimbus Roman No9 L" w:cs="Nimbus Roman No9 L"/>
          <w:b/>
          <w:sz w:val="28"/>
          <w:szCs w:val="28"/>
        </w:rPr>
        <w:t xml:space="preserve"> Р.С.</w:t>
      </w:r>
      <w:r>
        <w:rPr>
          <w:rFonts w:ascii="Nimbus Roman No9 L" w:eastAsia="Nimbus Roman No9 L" w:hAnsi="Nimbus Roman No9 L" w:cs="Nimbus Roman No9 L"/>
          <w:sz w:val="28"/>
          <w:szCs w:val="28"/>
        </w:rPr>
        <w:br/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Моделі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та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особливості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державного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управління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науковою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діяльністю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наукових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установ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//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Інвестиції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: практика та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досвід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>, 2018.- №12 червень.С.136-140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668"/>
        <w:gridCol w:w="8832"/>
      </w:tblGrid>
      <w:tr w:rsidR="00EA0F50" w:rsidTr="00EA0F50">
        <w:tc>
          <w:tcPr>
            <w:tcW w:w="1668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832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моделей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0F50" w:rsidRDefault="00EA0F50" w:rsidP="00EA0F50">
      <w:pPr>
        <w:pStyle w:val="1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Корсак К., Корсак Ю.</w:t>
      </w:r>
      <w:r>
        <w:br/>
      </w:r>
      <w:proofErr w:type="spellStart"/>
      <w:r>
        <w:rPr>
          <w:sz w:val="28"/>
          <w:szCs w:val="28"/>
        </w:rPr>
        <w:t>Футурологічні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у новому </w:t>
      </w:r>
      <w:proofErr w:type="spellStart"/>
      <w:r>
        <w:rPr>
          <w:sz w:val="28"/>
          <w:szCs w:val="28"/>
        </w:rPr>
        <w:t>столі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2014.- № 1. - С.40-46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526"/>
        <w:gridCol w:w="8974"/>
      </w:tblGrid>
      <w:tr w:rsidR="00EA0F50" w:rsidTr="00EA0F50">
        <w:tc>
          <w:tcPr>
            <w:tcW w:w="1526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974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відкрили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застосували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екобезпечні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називати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ноотехнологіями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необхідна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орієнтація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нооекономіки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A0F50" w:rsidRDefault="00EA0F50" w:rsidP="00EA0F50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0F50" w:rsidRDefault="00EA0F50" w:rsidP="00EA0F50">
      <w:pPr>
        <w:pStyle w:val="1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Малицький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Б.А.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история науки: взгляд в прошлое, настоящее и будущее// Наука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наукознавство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2017.- №2 \- С.28-42</w:t>
      </w:r>
    </w:p>
    <w:p w:rsidR="00EA0F50" w:rsidRPr="00EA0F50" w:rsidRDefault="00EA0F50" w:rsidP="00EA0F50">
      <w:pPr>
        <w:pStyle w:val="1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Аннотация: </w:t>
      </w:r>
      <w:r w:rsidRPr="00EA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Охарактеризовано наследие Г.М. Доброва в области историко-науковедческих исследований. Проведено сравнение особенностей </w:t>
      </w:r>
      <w:proofErr w:type="spellStart"/>
      <w:r w:rsidRPr="00EA0F5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 w:rsidRPr="00EA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развития </w:t>
      </w:r>
      <w:proofErr w:type="spellStart"/>
      <w:r w:rsidRPr="00EA0F5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науковедения</w:t>
      </w:r>
      <w:proofErr w:type="spellEnd"/>
      <w:r w:rsidRPr="00EA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истории науки и </w:t>
      </w:r>
      <w:proofErr w:type="spellStart"/>
      <w:r w:rsidRPr="00EA0F5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последобровского</w:t>
      </w:r>
      <w:proofErr w:type="spellEnd"/>
      <w:r w:rsidRPr="00EA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периода, приходящегося на формирование национальной украинской науки, и показано, что именно динамика развития науки предопределяет условия для развития </w:t>
      </w:r>
      <w:proofErr w:type="spellStart"/>
      <w:r w:rsidRPr="00EA0F5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науковедения</w:t>
      </w:r>
      <w:proofErr w:type="spellEnd"/>
      <w:r w:rsidRPr="00EA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истории науки и формирует конкретные требования к ним.</w:t>
      </w:r>
    </w:p>
    <w:p w:rsidR="00EA0F50" w:rsidRDefault="00EA0F50" w:rsidP="00EA0F50">
      <w:pPr>
        <w:pStyle w:val="1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708" w:hanging="708"/>
        <w:rPr>
          <w:color w:val="000000"/>
        </w:rPr>
      </w:pPr>
    </w:p>
    <w:tbl>
      <w:tblPr>
        <w:tblW w:w="9584" w:type="dxa"/>
        <w:tblLayout w:type="fixed"/>
        <w:tblLook w:val="0000" w:firstRow="0" w:lastRow="0" w:firstColumn="0" w:lastColumn="0" w:noHBand="0" w:noVBand="0"/>
      </w:tblPr>
      <w:tblGrid>
        <w:gridCol w:w="236"/>
        <w:gridCol w:w="9348"/>
      </w:tblGrid>
      <w:tr w:rsidR="00EA0F50" w:rsidTr="00A166AD">
        <w:tc>
          <w:tcPr>
            <w:tcW w:w="82" w:type="dxa"/>
            <w:shd w:val="clear" w:color="auto" w:fill="auto"/>
          </w:tcPr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2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Олефіренко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Цвєткова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br/>
            </w:r>
            <w:proofErr w:type="spellStart"/>
            <w:r>
              <w:rPr>
                <w:sz w:val="28"/>
                <w:szCs w:val="28"/>
              </w:rPr>
              <w:t>Концептуальні</w:t>
            </w:r>
            <w:proofErr w:type="spellEnd"/>
            <w:r>
              <w:rPr>
                <w:sz w:val="28"/>
                <w:szCs w:val="28"/>
              </w:rPr>
              <w:t xml:space="preserve"> засади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STEM-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 xml:space="preserve">// </w:t>
            </w:r>
            <w:proofErr w:type="spellStart"/>
            <w:r>
              <w:rPr>
                <w:sz w:val="28"/>
                <w:szCs w:val="28"/>
              </w:rPr>
              <w:t>Вища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, 2020.- № 1. - С.61-67</w:t>
            </w:r>
          </w:p>
          <w:tbl>
            <w:tblPr>
              <w:tblW w:w="10500" w:type="dxa"/>
              <w:tblLayout w:type="fixed"/>
              <w:tblLook w:val="0000" w:firstRow="0" w:lastRow="0" w:firstColumn="0" w:lastColumn="0" w:noHBand="0" w:noVBand="0"/>
            </w:tblPr>
            <w:tblGrid>
              <w:gridCol w:w="1465"/>
              <w:gridCol w:w="9035"/>
            </w:tblGrid>
            <w:tr w:rsidR="00EA0F50" w:rsidTr="00EA0F50">
              <w:tc>
                <w:tcPr>
                  <w:tcW w:w="1465" w:type="dxa"/>
                  <w:shd w:val="clear" w:color="auto" w:fill="auto"/>
                </w:tcPr>
                <w:p w:rsidR="00EA0F50" w:rsidRDefault="00EA0F50" w:rsidP="00A166AD">
                  <w:pPr>
                    <w:pStyle w:val="1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Анотац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035" w:type="dxa"/>
                  <w:shd w:val="clear" w:color="auto" w:fill="auto"/>
                  <w:vAlign w:val="center"/>
                </w:tcPr>
                <w:p w:rsidR="00EA0F50" w:rsidRDefault="00EA0F50" w:rsidP="00A166AD">
                  <w:pPr>
                    <w:pStyle w:val="1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Визначено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принципами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навчання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STEM-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освіти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є</w:t>
                  </w:r>
                </w:p>
                <w:p w:rsidR="00EA0F50" w:rsidRDefault="00EA0F50" w:rsidP="00A166AD">
                  <w:pPr>
                    <w:pStyle w:val="1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принципи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інтеграції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інноваційності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гуманістичної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аксіології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EA0F50" w:rsidRDefault="00EA0F50" w:rsidP="00A166AD">
                  <w:pPr>
                    <w:pStyle w:val="1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іально-емоційний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орієнтації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особистість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вчителя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500" w:type="dxa"/>
              <w:tblLayout w:type="fixed"/>
              <w:tblLook w:val="0000" w:firstRow="0" w:lastRow="0" w:firstColumn="0" w:lastColumn="0" w:noHBand="0" w:noVBand="0"/>
            </w:tblPr>
            <w:tblGrid>
              <w:gridCol w:w="1298"/>
              <w:gridCol w:w="9202"/>
            </w:tblGrid>
            <w:tr w:rsidR="00EA0F50" w:rsidTr="00A166AD">
              <w:tc>
                <w:tcPr>
                  <w:tcW w:w="1298" w:type="dxa"/>
                  <w:shd w:val="clear" w:color="auto" w:fill="auto"/>
                </w:tcPr>
                <w:p w:rsidR="00EA0F50" w:rsidRDefault="00EA0F50" w:rsidP="00A166AD">
                  <w:pPr>
                    <w:pStyle w:val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202" w:type="dxa"/>
                  <w:shd w:val="clear" w:color="auto" w:fill="auto"/>
                  <w:vAlign w:val="center"/>
                </w:tcPr>
                <w:p w:rsidR="00EA0F50" w:rsidRDefault="00EA0F50" w:rsidP="00A166AD">
                  <w:pPr>
                    <w:pStyle w:val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F50" w:rsidTr="00A166AD">
        <w:tc>
          <w:tcPr>
            <w:tcW w:w="82" w:type="dxa"/>
            <w:shd w:val="clear" w:color="auto" w:fill="auto"/>
          </w:tcPr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2" w:type="dxa"/>
            <w:shd w:val="clear" w:color="auto" w:fill="auto"/>
          </w:tcPr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F50" w:rsidTr="00A166AD">
        <w:tc>
          <w:tcPr>
            <w:tcW w:w="9584" w:type="dxa"/>
            <w:gridSpan w:val="2"/>
            <w:shd w:val="clear" w:color="auto" w:fill="auto"/>
          </w:tcPr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Попович О.С.,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Костриця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// Наука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2017.- Том 13.- №4. - С.5-13 </w:t>
            </w:r>
          </w:p>
        </w:tc>
      </w:tr>
    </w:tbl>
    <w:p w:rsidR="00EA0F50" w:rsidRDefault="00EA0F50" w:rsidP="00EA0F50">
      <w:pPr>
        <w:pStyle w:val="1"/>
        <w:spacing w:before="100" w:after="100"/>
        <w:ind w:left="1276" w:hanging="1276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Обґрунтовується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авторами методу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прогнозування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кадрового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взаємообумовленості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сусідніх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розраховано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десятиліть</w:t>
      </w:r>
      <w:proofErr w:type="spellEnd"/>
    </w:p>
    <w:p w:rsidR="00EA0F50" w:rsidRDefault="00EA0F50" w:rsidP="00EA0F50">
      <w:pPr>
        <w:pStyle w:val="1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Постригань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історико-правовий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практика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інтелектуальної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2017.- №3 (95). - С.32-37</w:t>
      </w:r>
      <w:r>
        <w:rPr>
          <w:sz w:val="28"/>
          <w:szCs w:val="28"/>
        </w:rPr>
        <w:t xml:space="preserve">        </w:t>
      </w:r>
      <w:r>
        <w:t xml:space="preserve">                    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587"/>
        <w:gridCol w:w="8913"/>
      </w:tblGrid>
      <w:tr w:rsidR="00EA0F50" w:rsidTr="00A166AD">
        <w:tc>
          <w:tcPr>
            <w:tcW w:w="1587" w:type="dxa"/>
            <w:shd w:val="clear" w:color="auto" w:fill="auto"/>
          </w:tcPr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13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F50" w:rsidTr="00A166AD">
        <w:tc>
          <w:tcPr>
            <w:tcW w:w="1587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913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розкриває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історико-правові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</w:p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США.</w:t>
            </w:r>
          </w:p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0F50" w:rsidRDefault="00EA0F50" w:rsidP="00EA0F50">
      <w:pPr>
        <w:pStyle w:val="1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Распопов В.Б.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 України, 2012.- 12. - С.44-54</w:t>
      </w:r>
    </w:p>
    <w:p w:rsidR="00EA0F50" w:rsidRDefault="00EA0F50" w:rsidP="00EA0F50">
      <w:pPr>
        <w:pStyle w:val="1"/>
        <w:ind w:left="1134" w:hanging="1134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Проаналізовано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неперервність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F50" w:rsidRDefault="00EA0F50" w:rsidP="00EA0F50">
      <w:pPr>
        <w:pStyle w:val="1"/>
        <w:ind w:left="1134" w:hanging="1134"/>
      </w:pPr>
    </w:p>
    <w:p w:rsidR="00EA0F50" w:rsidRDefault="00EA0F50" w:rsidP="00EA0F50">
      <w:pPr>
        <w:pStyle w:val="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Тимошенко М.В.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росту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практика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2020.-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 С.44-50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526"/>
        <w:gridCol w:w="8974"/>
      </w:tblGrid>
      <w:tr w:rsidR="00EA0F50" w:rsidTr="00EA0F50">
        <w:tc>
          <w:tcPr>
            <w:tcW w:w="1526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974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Розглянуто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ійкого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зростання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контексті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адекватної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інновацій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Наголошується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 як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ідгрунтя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росту.</w:t>
            </w:r>
          </w:p>
        </w:tc>
      </w:tr>
    </w:tbl>
    <w:p w:rsidR="00EA0F50" w:rsidRDefault="00EA0F50" w:rsidP="00EA0F50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F50" w:rsidRDefault="00EA0F50" w:rsidP="00EA0F50">
      <w:pPr>
        <w:pStyle w:val="1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Чмир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О.С.</w:t>
      </w:r>
      <w:r>
        <w:br/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Розвиток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екосистеми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proofErr w:type="gramStart"/>
      <w:r>
        <w:rPr>
          <w:rFonts w:ascii="Nimbus Roman No9 L" w:eastAsia="Nimbus Roman No9 L" w:hAnsi="Nimbus Roman No9 L" w:cs="Nimbus Roman No9 L"/>
          <w:sz w:val="28"/>
          <w:szCs w:val="28"/>
        </w:rPr>
        <w:t>п</w:t>
      </w:r>
      <w:proofErr w:type="gramEnd"/>
      <w:r>
        <w:rPr>
          <w:rFonts w:ascii="Nimbus Roman No9 L" w:eastAsia="Nimbus Roman No9 L" w:hAnsi="Nimbus Roman No9 L" w:cs="Nimbus Roman No9 L"/>
          <w:sz w:val="28"/>
          <w:szCs w:val="28"/>
        </w:rPr>
        <w:t>ідтримки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науки,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освіти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та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інновацій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// Наука,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технології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,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інновації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>, 2019.- № 4 (12). - С.75-84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668"/>
        <w:gridCol w:w="8832"/>
      </w:tblGrid>
      <w:tr w:rsidR="00EA0F50" w:rsidTr="00EA0F50">
        <w:tc>
          <w:tcPr>
            <w:tcW w:w="1668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832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розглянуто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репозитарію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академічних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(НРАТ). Описано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</w:p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репозитарію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проголошеної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документах мети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НРАТ. </w:t>
            </w:r>
          </w:p>
        </w:tc>
      </w:tr>
    </w:tbl>
    <w:p w:rsidR="00EA0F50" w:rsidRDefault="00EA0F50" w:rsidP="00EA0F50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0F50" w:rsidRDefault="00EA0F50" w:rsidP="00EA0F50">
      <w:pPr>
        <w:pStyle w:val="1"/>
      </w:pPr>
      <w:proofErr w:type="spellStart"/>
      <w:r>
        <w:rPr>
          <w:rFonts w:ascii="Nimbus Roman No9 L" w:eastAsia="Nimbus Roman No9 L" w:hAnsi="Nimbus Roman No9 L" w:cs="Nimbus Roman No9 L"/>
          <w:b/>
          <w:sz w:val="28"/>
          <w:szCs w:val="28"/>
        </w:rPr>
        <w:t>Швець</w:t>
      </w:r>
      <w:proofErr w:type="spellEnd"/>
      <w:r>
        <w:rPr>
          <w:rFonts w:ascii="Nimbus Roman No9 L" w:eastAsia="Nimbus Roman No9 L" w:hAnsi="Nimbus Roman No9 L" w:cs="Nimbus Roman No9 L"/>
          <w:b/>
          <w:sz w:val="28"/>
          <w:szCs w:val="28"/>
        </w:rPr>
        <w:t xml:space="preserve"> Д.Є.</w:t>
      </w:r>
      <w:r>
        <w:rPr>
          <w:rFonts w:ascii="Nimbus Roman No9 L" w:eastAsia="Nimbus Roman No9 L" w:hAnsi="Nimbus Roman No9 L" w:cs="Nimbus Roman No9 L"/>
          <w:sz w:val="28"/>
          <w:szCs w:val="28"/>
        </w:rPr>
        <w:br/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Стратегічні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орієнтири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реформування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системи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освіти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і науки в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умовах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proofErr w:type="gramStart"/>
      <w:r>
        <w:rPr>
          <w:rFonts w:ascii="Nimbus Roman No9 L" w:eastAsia="Nimbus Roman No9 L" w:hAnsi="Nimbus Roman No9 L" w:cs="Nimbus Roman No9 L"/>
          <w:sz w:val="28"/>
          <w:szCs w:val="28"/>
        </w:rPr>
        <w:t>соц</w:t>
      </w:r>
      <w:proofErr w:type="gramEnd"/>
      <w:r>
        <w:rPr>
          <w:rFonts w:ascii="Nimbus Roman No9 L" w:eastAsia="Nimbus Roman No9 L" w:hAnsi="Nimbus Roman No9 L" w:cs="Nimbus Roman No9 L"/>
          <w:sz w:val="28"/>
          <w:szCs w:val="28"/>
        </w:rPr>
        <w:t>іальної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кризи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// </w:t>
      </w:r>
      <w:proofErr w:type="spellStart"/>
      <w:r>
        <w:rPr>
          <w:rFonts w:ascii="Nimbus Roman No9 L" w:eastAsia="Nimbus Roman No9 L" w:hAnsi="Nimbus Roman No9 L" w:cs="Nimbus Roman No9 L"/>
          <w:sz w:val="28"/>
          <w:szCs w:val="28"/>
        </w:rPr>
        <w:t>Грані</w:t>
      </w:r>
      <w:proofErr w:type="spellEnd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, 2012.- 11(91)листопад. - С.84-87                                                                     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622"/>
        <w:gridCol w:w="8878"/>
      </w:tblGrid>
      <w:tr w:rsidR="00EA0F50" w:rsidTr="00A166AD">
        <w:tc>
          <w:tcPr>
            <w:tcW w:w="1622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присвячено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ідженню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мікросоціальних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чинників</w:t>
            </w:r>
            <w:proofErr w:type="spellEnd"/>
          </w:p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перманентної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кризовості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науки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A0F50" w:rsidRDefault="00EA0F50" w:rsidP="00EA0F50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0F50" w:rsidRDefault="00EA0F50" w:rsidP="00EA0F50">
      <w:pPr>
        <w:pStyle w:val="1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Шишкіна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М.П.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хмарних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сервісів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ідкритої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освітньо-науковому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2019.- № 3 (104). - С.23-29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</w:t>
      </w:r>
      <w:r>
        <w:t xml:space="preserve"> </w:t>
      </w:r>
    </w:p>
    <w:tbl>
      <w:tblPr>
        <w:tblW w:w="21150" w:type="dxa"/>
        <w:tblLayout w:type="fixed"/>
        <w:tblLook w:val="0000" w:firstRow="0" w:lastRow="0" w:firstColumn="0" w:lastColumn="0" w:noHBand="0" w:noVBand="0"/>
      </w:tblPr>
      <w:tblGrid>
        <w:gridCol w:w="10575"/>
        <w:gridCol w:w="10575"/>
      </w:tblGrid>
      <w:tr w:rsidR="00EA0F50" w:rsidTr="00A166AD">
        <w:tc>
          <w:tcPr>
            <w:tcW w:w="10575" w:type="dxa"/>
            <w:shd w:val="clear" w:color="auto" w:fill="auto"/>
          </w:tcPr>
          <w:p w:rsidR="00EA0F50" w:rsidRDefault="00EA0F50" w:rsidP="00A166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10500" w:type="dxa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8940"/>
            </w:tblGrid>
            <w:tr w:rsidR="00EA0F50" w:rsidTr="00EA0F50">
              <w:tc>
                <w:tcPr>
                  <w:tcW w:w="1560" w:type="dxa"/>
                  <w:shd w:val="clear" w:color="auto" w:fill="auto"/>
                </w:tcPr>
                <w:p w:rsidR="00EA0F50" w:rsidRDefault="00EA0F50" w:rsidP="00A166AD">
                  <w:pPr>
                    <w:pStyle w:val="1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Анотац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8940" w:type="dxa"/>
                  <w:shd w:val="clear" w:color="auto" w:fill="auto"/>
                  <w:vAlign w:val="center"/>
                </w:tcPr>
                <w:p w:rsidR="00EA0F50" w:rsidRDefault="00EA0F50" w:rsidP="00A166AD">
                  <w:pPr>
                    <w:pStyle w:val="1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Проаналізовано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обгрунтовано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доцільність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використання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упровадження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хмарних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сервісів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ідкритої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науки 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діяльність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окремого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науковця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підрозділу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науково-дослідної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освітньої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установи. </w:t>
                  </w:r>
                </w:p>
                <w:p w:rsidR="00EA0F50" w:rsidRDefault="00EA0F50" w:rsidP="00A166AD">
                  <w:pPr>
                    <w:pStyle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5" w:type="dxa"/>
            <w:shd w:val="clear" w:color="auto" w:fill="auto"/>
          </w:tcPr>
          <w:p w:rsidR="00EA0F50" w:rsidRDefault="00EA0F50" w:rsidP="00A166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500" w:type="dxa"/>
              <w:tblLayout w:type="fixed"/>
              <w:tblLook w:val="0000" w:firstRow="0" w:lastRow="0" w:firstColumn="0" w:lastColumn="0" w:noHBand="0" w:noVBand="0"/>
            </w:tblPr>
            <w:tblGrid>
              <w:gridCol w:w="1501"/>
              <w:gridCol w:w="8999"/>
            </w:tblGrid>
            <w:tr w:rsidR="00EA0F50" w:rsidTr="00A166AD">
              <w:tc>
                <w:tcPr>
                  <w:tcW w:w="1501" w:type="dxa"/>
                  <w:shd w:val="clear" w:color="auto" w:fill="auto"/>
                </w:tcPr>
                <w:p w:rsidR="00EA0F50" w:rsidRDefault="00EA0F50" w:rsidP="00A166AD">
                  <w:pPr>
                    <w:pStyle w:val="1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Аннотац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8999" w:type="dxa"/>
                  <w:shd w:val="clear" w:color="auto" w:fill="auto"/>
                  <w:vAlign w:val="center"/>
                </w:tcPr>
                <w:p w:rsidR="00EA0F50" w:rsidRDefault="00EA0F50" w:rsidP="00A166AD">
                  <w:pPr>
                    <w:pStyle w:val="1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Проаналізовано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обгрунтовано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доцільність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використання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упровадження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хмарних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сервісів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ідкритої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науки 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діяльність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окремого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науковця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підрозділу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науково-дослідної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освітньої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установи. </w:t>
                  </w:r>
                </w:p>
              </w:tc>
            </w:tr>
          </w:tbl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0F50" w:rsidRDefault="00EA0F50" w:rsidP="00EA0F50">
      <w:pPr>
        <w:pStyle w:val="1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Яненкова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br/>
      </w: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для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росту і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Економіка</w:t>
      </w:r>
      <w:proofErr w:type="spellEnd"/>
      <w:r>
        <w:rPr>
          <w:sz w:val="28"/>
          <w:szCs w:val="28"/>
        </w:rPr>
        <w:t xml:space="preserve"> та держава, 2015.- №7. - С.6-9      </w:t>
      </w:r>
      <w:r>
        <w:t xml:space="preserve">                                                                                                          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603"/>
        <w:gridCol w:w="8897"/>
      </w:tblGrid>
      <w:tr w:rsidR="00EA0F50" w:rsidTr="00A166AD">
        <w:tc>
          <w:tcPr>
            <w:tcW w:w="1603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Узагальнено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погляди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науки. </w:t>
            </w:r>
          </w:p>
          <w:p w:rsidR="00EA0F50" w:rsidRDefault="00EA0F50" w:rsidP="00A166AD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0F50" w:rsidRDefault="00EA0F50" w:rsidP="00EA0F50">
      <w:pPr>
        <w:pStyle w:val="1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Якайтіс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>
        <w:br/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освітою</w:t>
      </w:r>
      <w:proofErr w:type="spellEnd"/>
      <w:r>
        <w:rPr>
          <w:sz w:val="28"/>
          <w:szCs w:val="28"/>
        </w:rPr>
        <w:t xml:space="preserve"> та наукою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Інвестиції</w:t>
      </w:r>
      <w:proofErr w:type="spellEnd"/>
      <w:r>
        <w:rPr>
          <w:sz w:val="28"/>
          <w:szCs w:val="28"/>
        </w:rPr>
        <w:t xml:space="preserve">: практика та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, 2018.- №14 </w:t>
      </w:r>
      <w:proofErr w:type="spellStart"/>
      <w:r>
        <w:rPr>
          <w:sz w:val="28"/>
          <w:szCs w:val="28"/>
        </w:rPr>
        <w:t>липень</w:t>
      </w:r>
      <w:proofErr w:type="spellEnd"/>
      <w:r>
        <w:rPr>
          <w:sz w:val="28"/>
          <w:szCs w:val="28"/>
        </w:rPr>
        <w:t>. - С.95-100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760"/>
        <w:gridCol w:w="8740"/>
      </w:tblGrid>
      <w:tr w:rsidR="00EA0F50" w:rsidTr="00A166AD">
        <w:tc>
          <w:tcPr>
            <w:tcW w:w="1760" w:type="dxa"/>
            <w:shd w:val="clear" w:color="auto" w:fill="auto"/>
          </w:tcPr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Аннотац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40" w:type="dxa"/>
            <w:shd w:val="clear" w:color="auto" w:fill="auto"/>
            <w:vAlign w:val="center"/>
          </w:tcPr>
          <w:p w:rsidR="00EA0F50" w:rsidRDefault="00EA0F50" w:rsidP="00A166AD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</w:t>
            </w:r>
          </w:p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науки повинно стати одним з</w:t>
            </w:r>
          </w:p>
          <w:p w:rsidR="00EA0F50" w:rsidRDefault="00EA0F50" w:rsidP="00A166AD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</w:p>
          <w:p w:rsidR="00EA0F50" w:rsidRPr="00902E95" w:rsidRDefault="00EA0F50" w:rsidP="00A166AD">
            <w:pPr>
              <w:pStyle w:val="1"/>
              <w:rPr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іально-економічного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A0F50" w:rsidRDefault="00EA0F50" w:rsidP="00A166A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0F50" w:rsidRPr="00902E95" w:rsidRDefault="00EA0F50" w:rsidP="00EA0F50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rPr>
          <w:lang w:val="uk-UA"/>
        </w:rPr>
        <w:sectPr w:rsidR="00EA0F50" w:rsidRPr="00902E95">
          <w:pgSz w:w="11906" w:h="16838"/>
          <w:pgMar w:top="1134" w:right="1134" w:bottom="1134" w:left="1134" w:header="720" w:footer="720" w:gutter="0"/>
          <w:pgNumType w:start="1"/>
          <w:cols w:space="720" w:equalWidth="0">
            <w:col w:w="9689"/>
          </w:cols>
        </w:sectPr>
      </w:pPr>
    </w:p>
    <w:p w:rsidR="00E877C3" w:rsidRDefault="00E877C3" w:rsidP="001C3427"/>
    <w:sectPr w:rsidR="00E877C3" w:rsidSect="005C17F0">
      <w:type w:val="continuous"/>
      <w:pgSz w:w="11906" w:h="16838"/>
      <w:pgMar w:top="1134" w:right="1134" w:bottom="1134" w:left="1134" w:header="720" w:footer="720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</w:font>
  <w:font w:name="Nimbus Roman No9 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DBF"/>
    <w:multiLevelType w:val="multilevel"/>
    <w:tmpl w:val="A3A68D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F50"/>
    <w:rsid w:val="001C3427"/>
    <w:rsid w:val="008C71BB"/>
    <w:rsid w:val="00E877C3"/>
    <w:rsid w:val="00E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0F5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Слесаренко</cp:lastModifiedBy>
  <cp:revision>2</cp:revision>
  <dcterms:created xsi:type="dcterms:W3CDTF">2020-05-18T12:59:00Z</dcterms:created>
  <dcterms:modified xsi:type="dcterms:W3CDTF">2020-05-18T12:59:00Z</dcterms:modified>
</cp:coreProperties>
</file>